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AE55" w14:textId="77777777" w:rsidR="001D6386" w:rsidRPr="001D6386" w:rsidRDefault="001D6386" w:rsidP="001D6386">
      <w:pPr>
        <w:pStyle w:val="Heading2"/>
        <w:rPr>
          <w:sz w:val="52"/>
          <w:szCs w:val="52"/>
        </w:rPr>
      </w:pPr>
      <w:bookmarkStart w:id="0" w:name="Xa48845417994c5ff83df0dfb02661992ef17628"/>
      <w:bookmarkStart w:id="1" w:name="inditalia-refcon-limited"/>
      <w:r w:rsidRPr="001D6386">
        <w:rPr>
          <w:sz w:val="52"/>
          <w:szCs w:val="52"/>
        </w:rPr>
        <w:t>INDITALIA REFCON LIMITED</w:t>
      </w:r>
    </w:p>
    <w:p w14:paraId="332BD1F9" w14:textId="77777777" w:rsidR="00E733CE" w:rsidRDefault="00DC281C">
      <w:pPr>
        <w:pStyle w:val="Heading2"/>
      </w:pPr>
      <w:r>
        <w:t>Policy on Dealing with Related Party Transactions</w:t>
      </w:r>
    </w:p>
    <w:p w14:paraId="3322FA86" w14:textId="77777777" w:rsidR="00E733CE" w:rsidRDefault="00DC281C">
      <w:pPr>
        <w:pStyle w:val="FirstParagraph"/>
      </w:pPr>
      <w:r>
        <w:rPr>
          <w:i/>
          <w:iCs/>
        </w:rPr>
        <w:t>(Pursuant to Companies Act, 2013 and SEBI (LODR) Regulations, 2015)</w:t>
      </w:r>
    </w:p>
    <w:p w14:paraId="58AA1D88" w14:textId="77777777" w:rsidR="00E733CE" w:rsidRDefault="00DC281C">
      <w:pPr>
        <w:pStyle w:val="Heading2"/>
      </w:pPr>
      <w:bookmarkStart w:id="2" w:name="preamble"/>
      <w:bookmarkEnd w:id="0"/>
      <w:r>
        <w:t>1. Preamble</w:t>
      </w:r>
    </w:p>
    <w:p w14:paraId="113BC23A" w14:textId="77777777" w:rsidR="00E733CE" w:rsidRDefault="00DC281C">
      <w:pPr>
        <w:pStyle w:val="FirstParagraph"/>
      </w:pPr>
      <w:r>
        <w:t>Inditalia Refcon Limited (“the Company”) recognizes that Related Party Transactions (“RPTs”) can present potential or actual conflicts of interest. This Policy is framed to ensure that all Related Party Transactions are conducted in a transparent, fair, and arm’s length manner, and in the best interests of the Company and its stakeholders.</w:t>
      </w:r>
    </w:p>
    <w:p w14:paraId="3C96DA0D" w14:textId="77777777" w:rsidR="00E733CE" w:rsidRDefault="00DC281C">
      <w:pPr>
        <w:pStyle w:val="BodyText"/>
      </w:pPr>
      <w:r>
        <w:t>This Policy is adopted in compliance with:</w:t>
      </w:r>
    </w:p>
    <w:p w14:paraId="0237FA4B" w14:textId="77777777" w:rsidR="00E733CE" w:rsidRDefault="00DC281C">
      <w:pPr>
        <w:pStyle w:val="Compact"/>
        <w:numPr>
          <w:ilvl w:val="0"/>
          <w:numId w:val="2"/>
        </w:numPr>
      </w:pPr>
      <w:r>
        <w:t>Section 188 and other applicable provisions of the Companies Act, 2013 read with applicable Rules</w:t>
      </w:r>
    </w:p>
    <w:p w14:paraId="3889D35B" w14:textId="77777777" w:rsidR="00E733CE" w:rsidRDefault="00DC281C">
      <w:pPr>
        <w:pStyle w:val="Compact"/>
        <w:numPr>
          <w:ilvl w:val="0"/>
          <w:numId w:val="2"/>
        </w:numPr>
      </w:pPr>
      <w:r>
        <w:t>Regulation 23 of SEBI (Listing Obligations and Disclosure Requirements) Regulations, 2015 (“SEBI LODR Regulations”)</w:t>
      </w:r>
    </w:p>
    <w:p w14:paraId="1A7E282C" w14:textId="77777777" w:rsidR="00E733CE" w:rsidRDefault="00DC281C">
      <w:pPr>
        <w:pStyle w:val="Compact"/>
        <w:numPr>
          <w:ilvl w:val="0"/>
          <w:numId w:val="2"/>
        </w:numPr>
      </w:pPr>
      <w:r>
        <w:t>Applicable Accounting Standards</w:t>
      </w:r>
    </w:p>
    <w:p w14:paraId="1B199687" w14:textId="77777777" w:rsidR="00E733CE" w:rsidRDefault="00DC281C">
      <w:pPr>
        <w:pStyle w:val="Heading2"/>
      </w:pPr>
      <w:bookmarkStart w:id="3" w:name="objective"/>
      <w:bookmarkEnd w:id="2"/>
      <w:r>
        <w:t>2. Objective</w:t>
      </w:r>
    </w:p>
    <w:p w14:paraId="3FB07729" w14:textId="77777777" w:rsidR="00E733CE" w:rsidRDefault="00DC281C">
      <w:pPr>
        <w:pStyle w:val="FirstParagraph"/>
      </w:pPr>
      <w:r>
        <w:t>The objective of this Policy is to:</w:t>
      </w:r>
    </w:p>
    <w:p w14:paraId="6FD8299F" w14:textId="77777777" w:rsidR="00E733CE" w:rsidRDefault="00DC281C">
      <w:pPr>
        <w:pStyle w:val="Compact"/>
        <w:numPr>
          <w:ilvl w:val="0"/>
          <w:numId w:val="3"/>
        </w:numPr>
      </w:pPr>
      <w:r>
        <w:t>Define Related Party and Related Party Transactions</w:t>
      </w:r>
    </w:p>
    <w:p w14:paraId="52C1AEC6" w14:textId="77777777" w:rsidR="00E733CE" w:rsidRDefault="00DC281C">
      <w:pPr>
        <w:pStyle w:val="Compact"/>
        <w:numPr>
          <w:ilvl w:val="0"/>
          <w:numId w:val="3"/>
        </w:numPr>
      </w:pPr>
      <w:r>
        <w:t>Establish procedures for identification, approval, and disclosure of RPTs</w:t>
      </w:r>
    </w:p>
    <w:p w14:paraId="6B5ABF10" w14:textId="77777777" w:rsidR="00E733CE" w:rsidRDefault="00DC281C">
      <w:pPr>
        <w:pStyle w:val="Compact"/>
        <w:numPr>
          <w:ilvl w:val="0"/>
          <w:numId w:val="3"/>
        </w:numPr>
      </w:pPr>
      <w:r>
        <w:t>Ensure proper reporting and compliance with statutory requirements</w:t>
      </w:r>
    </w:p>
    <w:p w14:paraId="1360C08D" w14:textId="77777777" w:rsidR="00E733CE" w:rsidRDefault="00DC281C">
      <w:pPr>
        <w:pStyle w:val="Compact"/>
        <w:numPr>
          <w:ilvl w:val="0"/>
          <w:numId w:val="3"/>
        </w:numPr>
      </w:pPr>
      <w:r>
        <w:t>Prevent conflicts of interest and protect minority shareholders</w:t>
      </w:r>
    </w:p>
    <w:p w14:paraId="6227571C" w14:textId="77777777" w:rsidR="00E733CE" w:rsidRDefault="00DC281C">
      <w:pPr>
        <w:pStyle w:val="Heading2"/>
      </w:pPr>
      <w:bookmarkStart w:id="4" w:name="definitions"/>
      <w:bookmarkEnd w:id="3"/>
      <w:r>
        <w:t>3. Definitions</w:t>
      </w:r>
    </w:p>
    <w:p w14:paraId="1A45B58D" w14:textId="77777777" w:rsidR="00E733CE" w:rsidRDefault="00DC281C">
      <w:pPr>
        <w:pStyle w:val="Heading3"/>
      </w:pPr>
      <w:bookmarkStart w:id="5" w:name="related-party"/>
      <w:r>
        <w:t>3.1 Related Party</w:t>
      </w:r>
    </w:p>
    <w:p w14:paraId="7F52ADAC" w14:textId="77777777" w:rsidR="00E733CE" w:rsidRDefault="00DC281C">
      <w:pPr>
        <w:pStyle w:val="FirstParagraph"/>
      </w:pPr>
      <w:r>
        <w:t>A “Related Party” shall have the meaning as defined under:</w:t>
      </w:r>
    </w:p>
    <w:p w14:paraId="21DD9C51" w14:textId="77777777" w:rsidR="00E733CE" w:rsidRDefault="00DC281C">
      <w:pPr>
        <w:pStyle w:val="Compact"/>
        <w:numPr>
          <w:ilvl w:val="0"/>
          <w:numId w:val="4"/>
        </w:numPr>
      </w:pPr>
      <w:r>
        <w:t>Section 2(76) of the Companies Act, 2013; and</w:t>
      </w:r>
    </w:p>
    <w:p w14:paraId="4DC29A94" w14:textId="77777777" w:rsidR="00E733CE" w:rsidRDefault="00DC281C">
      <w:pPr>
        <w:pStyle w:val="Compact"/>
        <w:numPr>
          <w:ilvl w:val="0"/>
          <w:numId w:val="4"/>
        </w:numPr>
      </w:pPr>
      <w:r>
        <w:t>Regulation 2(1)(zb) of SEBI LODR Regulations</w:t>
      </w:r>
    </w:p>
    <w:p w14:paraId="3DB100B9" w14:textId="77777777" w:rsidR="00E733CE" w:rsidRDefault="00DC281C">
      <w:pPr>
        <w:pStyle w:val="Heading3"/>
      </w:pPr>
      <w:bookmarkStart w:id="6" w:name="related-party-transaction"/>
      <w:bookmarkEnd w:id="5"/>
      <w:r>
        <w:t>3.2 Related Party Transaction</w:t>
      </w:r>
    </w:p>
    <w:p w14:paraId="4A7594B2" w14:textId="77777777" w:rsidR="00E733CE" w:rsidRDefault="00DC281C">
      <w:pPr>
        <w:pStyle w:val="FirstParagraph"/>
      </w:pPr>
      <w:r>
        <w:t>A “Related Party Transaction” means a transfer of resources, services, or obligations between the Company and a related party, regardless of whether a price is charged.</w:t>
      </w:r>
    </w:p>
    <w:p w14:paraId="05B5F6E5" w14:textId="77777777" w:rsidR="00E733CE" w:rsidRDefault="00DC281C">
      <w:pPr>
        <w:pStyle w:val="Heading2"/>
      </w:pPr>
      <w:bookmarkStart w:id="7" w:name="policy-applicability"/>
      <w:bookmarkEnd w:id="4"/>
      <w:bookmarkEnd w:id="6"/>
      <w:r>
        <w:lastRenderedPageBreak/>
        <w:t>4. Policy Applicability</w:t>
      </w:r>
    </w:p>
    <w:p w14:paraId="30CD5F4C" w14:textId="77777777" w:rsidR="00E733CE" w:rsidRDefault="00DC281C">
      <w:pPr>
        <w:pStyle w:val="FirstParagraph"/>
      </w:pPr>
      <w:r>
        <w:t>This Policy applies to all transactions between the Company and its related parties, including but not limited to:</w:t>
      </w:r>
    </w:p>
    <w:p w14:paraId="51CDB19D" w14:textId="77777777" w:rsidR="00E733CE" w:rsidRDefault="00DC281C">
      <w:pPr>
        <w:pStyle w:val="Compact"/>
        <w:numPr>
          <w:ilvl w:val="0"/>
          <w:numId w:val="5"/>
        </w:numPr>
      </w:pPr>
      <w:r>
        <w:t>Sale, purchase, or supply of goods or materials</w:t>
      </w:r>
    </w:p>
    <w:p w14:paraId="5B23A70E" w14:textId="77777777" w:rsidR="00E733CE" w:rsidRDefault="00DC281C">
      <w:pPr>
        <w:pStyle w:val="Compact"/>
        <w:numPr>
          <w:ilvl w:val="0"/>
          <w:numId w:val="5"/>
        </w:numPr>
      </w:pPr>
      <w:r>
        <w:t>Leasing of property</w:t>
      </w:r>
    </w:p>
    <w:p w14:paraId="01CCA7D2" w14:textId="77777777" w:rsidR="00E733CE" w:rsidRDefault="00DC281C">
      <w:pPr>
        <w:pStyle w:val="Compact"/>
        <w:numPr>
          <w:ilvl w:val="0"/>
          <w:numId w:val="5"/>
        </w:numPr>
      </w:pPr>
      <w:r>
        <w:t>Availing or rendering of services</w:t>
      </w:r>
    </w:p>
    <w:p w14:paraId="234ECDB3" w14:textId="77777777" w:rsidR="00E733CE" w:rsidRDefault="00DC281C">
      <w:pPr>
        <w:pStyle w:val="Compact"/>
        <w:numPr>
          <w:ilvl w:val="0"/>
          <w:numId w:val="5"/>
        </w:numPr>
      </w:pPr>
      <w:r>
        <w:t>Appointment of agents</w:t>
      </w:r>
    </w:p>
    <w:p w14:paraId="21361E87" w14:textId="77777777" w:rsidR="00E733CE" w:rsidRDefault="00DC281C">
      <w:pPr>
        <w:pStyle w:val="Compact"/>
        <w:numPr>
          <w:ilvl w:val="0"/>
          <w:numId w:val="5"/>
        </w:numPr>
      </w:pPr>
      <w:r>
        <w:t>Related party borrowings and financial arrangements</w:t>
      </w:r>
    </w:p>
    <w:p w14:paraId="466D1D31" w14:textId="77777777" w:rsidR="00E733CE" w:rsidRDefault="00DC281C">
      <w:pPr>
        <w:pStyle w:val="Heading2"/>
      </w:pPr>
      <w:bookmarkStart w:id="8" w:name="X6fe375b459d9995927ce9ad82798815c642f20c"/>
      <w:bookmarkEnd w:id="7"/>
      <w:r>
        <w:t>5. Identification of Related Parties and Transactions</w:t>
      </w:r>
    </w:p>
    <w:p w14:paraId="6305B17F" w14:textId="77777777" w:rsidR="00E733CE" w:rsidRDefault="00DC281C">
      <w:pPr>
        <w:pStyle w:val="Compact"/>
        <w:numPr>
          <w:ilvl w:val="0"/>
          <w:numId w:val="6"/>
        </w:numPr>
      </w:pPr>
      <w:r>
        <w:t>The Company shall maintain an updated list of related parties based on disclosures received from Directors and Key Managerial Personnel (KMPs).</w:t>
      </w:r>
    </w:p>
    <w:p w14:paraId="6C774706" w14:textId="77777777" w:rsidR="00E733CE" w:rsidRDefault="00DC281C">
      <w:pPr>
        <w:pStyle w:val="Compact"/>
        <w:numPr>
          <w:ilvl w:val="0"/>
          <w:numId w:val="6"/>
        </w:numPr>
      </w:pPr>
      <w:r>
        <w:t>Each department shall identify potential RPTs and report them to the Compliance/Secretarial Department.</w:t>
      </w:r>
    </w:p>
    <w:p w14:paraId="31E7C824" w14:textId="77777777" w:rsidR="00E733CE" w:rsidRDefault="00DC281C">
      <w:pPr>
        <w:pStyle w:val="Heading2"/>
      </w:pPr>
      <w:bookmarkStart w:id="9" w:name="approval-mechanism"/>
      <w:bookmarkEnd w:id="8"/>
      <w:r>
        <w:t>6. Approval Mechanism</w:t>
      </w:r>
    </w:p>
    <w:p w14:paraId="23F5E772" w14:textId="77777777" w:rsidR="00E733CE" w:rsidRDefault="00DC281C">
      <w:pPr>
        <w:pStyle w:val="Heading3"/>
      </w:pPr>
      <w:bookmarkStart w:id="10" w:name="audit-committee-approval"/>
      <w:r>
        <w:t>6.1 Audit Committee Approval</w:t>
      </w:r>
    </w:p>
    <w:p w14:paraId="2BBCB624" w14:textId="77777777" w:rsidR="00E733CE" w:rsidRDefault="00DC281C">
      <w:pPr>
        <w:pStyle w:val="Compact"/>
        <w:numPr>
          <w:ilvl w:val="0"/>
          <w:numId w:val="7"/>
        </w:numPr>
      </w:pPr>
      <w:r>
        <w:t>All Related Party Transactions shall require prior approval of the Audit Committee.</w:t>
      </w:r>
    </w:p>
    <w:p w14:paraId="01A43FA0" w14:textId="77777777" w:rsidR="00E733CE" w:rsidRDefault="00DC281C">
      <w:pPr>
        <w:pStyle w:val="Compact"/>
        <w:numPr>
          <w:ilvl w:val="0"/>
          <w:numId w:val="7"/>
        </w:numPr>
      </w:pPr>
      <w:r>
        <w:t>The Audit Committee may grant omnibus approval for repetitive transactions subject to conditions prescribed under SEBI LODR Regulations.</w:t>
      </w:r>
    </w:p>
    <w:p w14:paraId="1529879D" w14:textId="77777777" w:rsidR="00E733CE" w:rsidRDefault="00DC281C">
      <w:pPr>
        <w:pStyle w:val="Heading3"/>
      </w:pPr>
      <w:bookmarkStart w:id="11" w:name="board-approval"/>
      <w:bookmarkEnd w:id="10"/>
      <w:r>
        <w:t>6.2 Board Approval</w:t>
      </w:r>
    </w:p>
    <w:p w14:paraId="75444522" w14:textId="77777777" w:rsidR="00E733CE" w:rsidRDefault="00DC281C">
      <w:pPr>
        <w:pStyle w:val="Compact"/>
        <w:numPr>
          <w:ilvl w:val="0"/>
          <w:numId w:val="8"/>
        </w:numPr>
      </w:pPr>
      <w:r>
        <w:t>Transactions not in the ordinary course of business or not at arm’s length shall require approval of the Board of Directors.</w:t>
      </w:r>
    </w:p>
    <w:p w14:paraId="571D3069" w14:textId="77777777" w:rsidR="00E733CE" w:rsidRDefault="00DC281C">
      <w:pPr>
        <w:pStyle w:val="Heading3"/>
      </w:pPr>
      <w:bookmarkStart w:id="12" w:name="shareholders-approval"/>
      <w:bookmarkEnd w:id="11"/>
      <w:r>
        <w:t>6.3 Shareholders’ Approval</w:t>
      </w:r>
    </w:p>
    <w:p w14:paraId="15D7028A" w14:textId="77777777" w:rsidR="00E733CE" w:rsidRDefault="00DC281C">
      <w:pPr>
        <w:pStyle w:val="Compact"/>
        <w:numPr>
          <w:ilvl w:val="0"/>
          <w:numId w:val="9"/>
        </w:numPr>
      </w:pPr>
      <w:r>
        <w:t>Material Related Party Transactions shall require prior approval of shareholders by way of resolution.</w:t>
      </w:r>
    </w:p>
    <w:p w14:paraId="74892C2A" w14:textId="77777777" w:rsidR="00E733CE" w:rsidRDefault="00DC281C">
      <w:pPr>
        <w:pStyle w:val="Compact"/>
        <w:numPr>
          <w:ilvl w:val="0"/>
          <w:numId w:val="9"/>
        </w:numPr>
      </w:pPr>
      <w:r>
        <w:t>All related parties shall abstain from voting on such resolutions.</w:t>
      </w:r>
    </w:p>
    <w:p w14:paraId="670AD045" w14:textId="77777777" w:rsidR="00E733CE" w:rsidRDefault="00DC281C">
      <w:pPr>
        <w:pStyle w:val="Heading2"/>
      </w:pPr>
      <w:bookmarkStart w:id="13" w:name="material-related-party-transactions"/>
      <w:bookmarkEnd w:id="9"/>
      <w:bookmarkEnd w:id="12"/>
      <w:r>
        <w:t>7. Material Related Party Transactions</w:t>
      </w:r>
    </w:p>
    <w:p w14:paraId="24E4C255" w14:textId="77777777" w:rsidR="00E733CE" w:rsidRDefault="00DC281C">
      <w:pPr>
        <w:pStyle w:val="FirstParagraph"/>
      </w:pPr>
      <w:r>
        <w:t>A Related Party Transaction shall be considered “material” if it exceeds the limits prescribed under Regulation 23 of SEBI LODR Regulations (as amended from time to time). As per the latest amendments:</w:t>
      </w:r>
    </w:p>
    <w:p w14:paraId="76FFF37E" w14:textId="77777777" w:rsidR="00E733CE" w:rsidRDefault="00DC281C">
      <w:pPr>
        <w:numPr>
          <w:ilvl w:val="0"/>
          <w:numId w:val="10"/>
        </w:numPr>
      </w:pPr>
      <w:r>
        <w:t xml:space="preserve">A transaction with a related party shall be considered material if the transaction(s) to be entered into individually or taken together with previous transactions during a financial year exceeds </w:t>
      </w:r>
      <w:r>
        <w:rPr>
          <w:b/>
          <w:bCs/>
        </w:rPr>
        <w:t>₹1,000 crore or 10% of the annual consolidated turnover of the Company as per the last audited financial statements, whichever is lower</w:t>
      </w:r>
      <w:r>
        <w:t>.</w:t>
      </w:r>
    </w:p>
    <w:p w14:paraId="542D26F4" w14:textId="77777777" w:rsidR="00E733CE" w:rsidRDefault="00DC281C">
      <w:pPr>
        <w:numPr>
          <w:ilvl w:val="0"/>
          <w:numId w:val="10"/>
        </w:numPr>
      </w:pPr>
      <w:r>
        <w:lastRenderedPageBreak/>
        <w:t xml:space="preserve">Notwithstanding the above, for transactions involving </w:t>
      </w:r>
      <w:r>
        <w:rPr>
          <w:b/>
          <w:bCs/>
        </w:rPr>
        <w:t>payments made to a related party with respect to brand usage or royalty</w:t>
      </w:r>
      <w:r>
        <w:t xml:space="preserve">, such transaction shall be considered material if it exceeds </w:t>
      </w:r>
      <w:r>
        <w:rPr>
          <w:b/>
          <w:bCs/>
        </w:rPr>
        <w:t>5% of the annual consolidated turnover</w:t>
      </w:r>
      <w:r>
        <w:t xml:space="preserve"> of the Company as per the last audited financial statements.</w:t>
      </w:r>
    </w:p>
    <w:p w14:paraId="633C33FB" w14:textId="77777777" w:rsidR="00E733CE" w:rsidRDefault="00DC281C">
      <w:pPr>
        <w:pStyle w:val="FirstParagraph"/>
      </w:pPr>
      <w:r>
        <w:t>All material related party transactions shall require prior approval of the shareholders through a resolution and all related parties shall abstain from voting on such resolutions.</w:t>
      </w:r>
    </w:p>
    <w:p w14:paraId="6813E302" w14:textId="77777777" w:rsidR="00E733CE" w:rsidRDefault="00DC281C">
      <w:pPr>
        <w:pStyle w:val="Heading2"/>
      </w:pPr>
      <w:bookmarkStart w:id="14" w:name="X51b12e48fd8bd4839dc1012e31f11d1cb65c040"/>
      <w:bookmarkEnd w:id="13"/>
      <w:r>
        <w:t>8. Arm’s Length and Ordinary Course of Business</w:t>
      </w:r>
    </w:p>
    <w:p w14:paraId="5DF8A1D6" w14:textId="77777777" w:rsidR="00E733CE" w:rsidRDefault="00DC281C">
      <w:pPr>
        <w:pStyle w:val="Compact"/>
        <w:numPr>
          <w:ilvl w:val="0"/>
          <w:numId w:val="11"/>
        </w:numPr>
      </w:pPr>
      <w:r>
        <w:t>All RPTs shall be conducted at arm’s length and in the ordinary course of business.</w:t>
      </w:r>
    </w:p>
    <w:p w14:paraId="26656DFA" w14:textId="77777777" w:rsidR="00E733CE" w:rsidRDefault="00DC281C">
      <w:pPr>
        <w:pStyle w:val="Compact"/>
        <w:numPr>
          <w:ilvl w:val="0"/>
          <w:numId w:val="11"/>
        </w:numPr>
      </w:pPr>
      <w:r>
        <w:t>Supporting documentation and benchmarking shall be maintained to justify pricing and terms.</w:t>
      </w:r>
    </w:p>
    <w:p w14:paraId="4DA272FD" w14:textId="77777777" w:rsidR="00E733CE" w:rsidRDefault="00DC281C">
      <w:pPr>
        <w:pStyle w:val="Heading2"/>
      </w:pPr>
      <w:bookmarkStart w:id="15" w:name="omnibus-approval"/>
      <w:bookmarkEnd w:id="14"/>
      <w:r>
        <w:t>9. Omnibus Approval</w:t>
      </w:r>
    </w:p>
    <w:p w14:paraId="6C223D1B" w14:textId="77777777" w:rsidR="00E733CE" w:rsidRDefault="00DC281C">
      <w:pPr>
        <w:pStyle w:val="FirstParagraph"/>
      </w:pPr>
      <w:r>
        <w:t>The Audit Committee may grant omnibus approval for repetitive Related Party Transactions subject to the following conditions:</w:t>
      </w:r>
    </w:p>
    <w:p w14:paraId="788F35E8" w14:textId="77777777" w:rsidR="00E733CE" w:rsidRDefault="00DC281C">
      <w:pPr>
        <w:pStyle w:val="Compact"/>
        <w:numPr>
          <w:ilvl w:val="0"/>
          <w:numId w:val="12"/>
        </w:numPr>
      </w:pPr>
      <w:r>
        <w:t>The Audit Committee shall lay down criteria for granting omnibus approvals in line with SEBI LODR Regulations</w:t>
      </w:r>
    </w:p>
    <w:p w14:paraId="29140449" w14:textId="77777777" w:rsidR="00E733CE" w:rsidRDefault="00DC281C">
      <w:pPr>
        <w:pStyle w:val="Compact"/>
        <w:numPr>
          <w:ilvl w:val="0"/>
          <w:numId w:val="12"/>
        </w:numPr>
      </w:pPr>
      <w:r>
        <w:t>The maximum value of transactions, in aggregate and per transaction, shall be specified</w:t>
      </w:r>
    </w:p>
    <w:p w14:paraId="7FF539DC" w14:textId="77777777" w:rsidR="00E733CE" w:rsidRDefault="00DC281C">
      <w:pPr>
        <w:pStyle w:val="Compact"/>
        <w:numPr>
          <w:ilvl w:val="0"/>
          <w:numId w:val="12"/>
        </w:numPr>
      </w:pPr>
      <w:r>
        <w:t>Omnibus approval shall be valid for a period not exceeding one financial year</w:t>
      </w:r>
    </w:p>
    <w:p w14:paraId="7DB9A8DA" w14:textId="77777777" w:rsidR="00E733CE" w:rsidRDefault="00DC281C">
      <w:pPr>
        <w:pStyle w:val="Compact"/>
        <w:numPr>
          <w:ilvl w:val="0"/>
          <w:numId w:val="12"/>
        </w:numPr>
      </w:pPr>
      <w:r>
        <w:t>Transactions shall be reviewed periodically by the Audit Committee</w:t>
      </w:r>
    </w:p>
    <w:p w14:paraId="568F9DD1" w14:textId="77777777" w:rsidR="00E733CE" w:rsidRDefault="00DC281C">
      <w:pPr>
        <w:pStyle w:val="Heading3"/>
      </w:pPr>
      <w:bookmarkStart w:id="16" w:name="format-for-omnibus-approval-register"/>
      <w:r>
        <w:t>9.1 Format for Omnibus Approval Register</w:t>
      </w:r>
    </w:p>
    <w:p w14:paraId="5EA6470C" w14:textId="77777777" w:rsidR="00E733CE" w:rsidRDefault="00DC281C">
      <w:pPr>
        <w:pStyle w:val="FirstParagraph"/>
      </w:pPr>
      <w:r>
        <w:t>The Company shall maintain a register/database of omnibus approvals granted by the Audit Committee in the following format:</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93"/>
        <w:gridCol w:w="1081"/>
        <w:gridCol w:w="1178"/>
        <w:gridCol w:w="1080"/>
        <w:gridCol w:w="1080"/>
        <w:gridCol w:w="1278"/>
        <w:gridCol w:w="884"/>
        <w:gridCol w:w="933"/>
        <w:gridCol w:w="687"/>
        <w:gridCol w:w="491"/>
        <w:gridCol w:w="491"/>
      </w:tblGrid>
      <w:tr w:rsidR="00E733CE" w14:paraId="4E18817B" w14:textId="77777777" w:rsidTr="00C44BFF">
        <w:trPr>
          <w:cnfStyle w:val="100000000000" w:firstRow="1" w:lastRow="0" w:firstColumn="0" w:lastColumn="0" w:oddVBand="0" w:evenVBand="0" w:oddHBand="0" w:evenHBand="0" w:firstRowFirstColumn="0" w:firstRowLastColumn="0" w:lastRowFirstColumn="0" w:lastRowLastColumn="0"/>
          <w:tblHeader/>
        </w:trPr>
        <w:tc>
          <w:tcPr>
            <w:tcW w:w="324" w:type="dxa"/>
            <w:tcBorders>
              <w:bottom w:val="none" w:sz="0" w:space="0" w:color="auto"/>
            </w:tcBorders>
          </w:tcPr>
          <w:p w14:paraId="2C007552" w14:textId="77777777" w:rsidR="00E733CE" w:rsidRDefault="00DC281C">
            <w:pPr>
              <w:pStyle w:val="Compact"/>
            </w:pPr>
            <w:r>
              <w:t>Sr. No.</w:t>
            </w:r>
          </w:p>
        </w:tc>
        <w:tc>
          <w:tcPr>
            <w:tcW w:w="893" w:type="dxa"/>
            <w:tcBorders>
              <w:bottom w:val="none" w:sz="0" w:space="0" w:color="auto"/>
            </w:tcBorders>
          </w:tcPr>
          <w:p w14:paraId="28A19C17" w14:textId="77777777" w:rsidR="00E733CE" w:rsidRDefault="00DC281C">
            <w:pPr>
              <w:pStyle w:val="Compact"/>
            </w:pPr>
            <w:r>
              <w:t>Name of Related Party</w:t>
            </w:r>
          </w:p>
        </w:tc>
        <w:tc>
          <w:tcPr>
            <w:tcW w:w="974" w:type="dxa"/>
            <w:tcBorders>
              <w:bottom w:val="none" w:sz="0" w:space="0" w:color="auto"/>
            </w:tcBorders>
          </w:tcPr>
          <w:p w14:paraId="5AEDD4E7" w14:textId="77777777" w:rsidR="00E733CE" w:rsidRDefault="00DC281C">
            <w:pPr>
              <w:pStyle w:val="Compact"/>
            </w:pPr>
            <w:r>
              <w:t>Nature of Relationship</w:t>
            </w:r>
          </w:p>
        </w:tc>
        <w:tc>
          <w:tcPr>
            <w:tcW w:w="893" w:type="dxa"/>
            <w:tcBorders>
              <w:bottom w:val="none" w:sz="0" w:space="0" w:color="auto"/>
            </w:tcBorders>
          </w:tcPr>
          <w:p w14:paraId="710D84BF" w14:textId="77777777" w:rsidR="00E733CE" w:rsidRDefault="00DC281C">
            <w:pPr>
              <w:pStyle w:val="Compact"/>
            </w:pPr>
            <w:r>
              <w:t>Nature of Transaction</w:t>
            </w:r>
          </w:p>
        </w:tc>
        <w:tc>
          <w:tcPr>
            <w:tcW w:w="893" w:type="dxa"/>
            <w:tcBorders>
              <w:bottom w:val="none" w:sz="0" w:space="0" w:color="auto"/>
            </w:tcBorders>
          </w:tcPr>
          <w:p w14:paraId="2EAA83A1" w14:textId="77777777" w:rsidR="00E733CE" w:rsidRDefault="00DC281C">
            <w:pPr>
              <w:pStyle w:val="Compact"/>
            </w:pPr>
            <w:r>
              <w:t>Period of Transaction</w:t>
            </w:r>
          </w:p>
        </w:tc>
        <w:tc>
          <w:tcPr>
            <w:tcW w:w="1056" w:type="dxa"/>
            <w:tcBorders>
              <w:bottom w:val="none" w:sz="0" w:space="0" w:color="auto"/>
            </w:tcBorders>
          </w:tcPr>
          <w:p w14:paraId="5E889539" w14:textId="77777777" w:rsidR="00E733CE" w:rsidRDefault="00DC281C">
            <w:pPr>
              <w:pStyle w:val="Compact"/>
            </w:pPr>
            <w:r>
              <w:t>Maximum Amount Approved</w:t>
            </w:r>
          </w:p>
        </w:tc>
        <w:tc>
          <w:tcPr>
            <w:tcW w:w="731" w:type="dxa"/>
            <w:tcBorders>
              <w:bottom w:val="none" w:sz="0" w:space="0" w:color="auto"/>
            </w:tcBorders>
          </w:tcPr>
          <w:p w14:paraId="38D18E77" w14:textId="77777777" w:rsidR="00E733CE" w:rsidRDefault="00DC281C">
            <w:pPr>
              <w:pStyle w:val="Compact"/>
            </w:pPr>
            <w:r>
              <w:t>Amount Utilised</w:t>
            </w:r>
          </w:p>
        </w:tc>
        <w:tc>
          <w:tcPr>
            <w:tcW w:w="771" w:type="dxa"/>
            <w:tcBorders>
              <w:bottom w:val="none" w:sz="0" w:space="0" w:color="auto"/>
            </w:tcBorders>
          </w:tcPr>
          <w:p w14:paraId="5A532E24" w14:textId="77777777" w:rsidR="00E733CE" w:rsidRDefault="00DC281C">
            <w:pPr>
              <w:pStyle w:val="Compact"/>
            </w:pPr>
            <w:r>
              <w:t>Balance Available</w:t>
            </w:r>
          </w:p>
        </w:tc>
        <w:tc>
          <w:tcPr>
            <w:tcW w:w="568" w:type="dxa"/>
            <w:tcBorders>
              <w:bottom w:val="none" w:sz="0" w:space="0" w:color="auto"/>
            </w:tcBorders>
          </w:tcPr>
          <w:p w14:paraId="441DFCC9" w14:textId="77777777" w:rsidR="00E733CE" w:rsidRDefault="00DC281C">
            <w:pPr>
              <w:pStyle w:val="Compact"/>
            </w:pPr>
            <w:r>
              <w:t>Approval Date</w:t>
            </w:r>
          </w:p>
        </w:tc>
        <w:tc>
          <w:tcPr>
            <w:tcW w:w="406" w:type="dxa"/>
            <w:tcBorders>
              <w:bottom w:val="none" w:sz="0" w:space="0" w:color="auto"/>
            </w:tcBorders>
          </w:tcPr>
          <w:p w14:paraId="4D777F77" w14:textId="77777777" w:rsidR="00E733CE" w:rsidRDefault="00DC281C">
            <w:pPr>
              <w:pStyle w:val="Compact"/>
            </w:pPr>
            <w:r>
              <w:t>Validity</w:t>
            </w:r>
          </w:p>
        </w:tc>
        <w:tc>
          <w:tcPr>
            <w:tcW w:w="406" w:type="dxa"/>
            <w:tcBorders>
              <w:bottom w:val="none" w:sz="0" w:space="0" w:color="auto"/>
            </w:tcBorders>
          </w:tcPr>
          <w:p w14:paraId="7C61C6E7" w14:textId="77777777" w:rsidR="00E733CE" w:rsidRDefault="00DC281C">
            <w:pPr>
              <w:pStyle w:val="Compact"/>
            </w:pPr>
            <w:r>
              <w:t>Remarks</w:t>
            </w:r>
          </w:p>
        </w:tc>
      </w:tr>
    </w:tbl>
    <w:p w14:paraId="1D2C2560" w14:textId="77777777" w:rsidR="00E733CE" w:rsidRDefault="00DC281C">
      <w:pPr>
        <w:pStyle w:val="BodyText"/>
      </w:pPr>
      <w:r>
        <w:t>The register shall be reviewed periodically by the Audit Committee to ensure compliance with approved limits and regulatory requirements.</w:t>
      </w:r>
    </w:p>
    <w:p w14:paraId="159F1D4E" w14:textId="77777777" w:rsidR="00E733CE" w:rsidRDefault="00DC281C">
      <w:pPr>
        <w:pStyle w:val="Heading2"/>
      </w:pPr>
      <w:bookmarkStart w:id="17" w:name="disclosure-requirements"/>
      <w:bookmarkEnd w:id="15"/>
      <w:bookmarkEnd w:id="16"/>
      <w:r>
        <w:t>10. Disclosure Requirements</w:t>
      </w:r>
    </w:p>
    <w:p w14:paraId="143406D1" w14:textId="77777777" w:rsidR="00E733CE" w:rsidRDefault="00DC281C">
      <w:pPr>
        <w:pStyle w:val="FirstParagraph"/>
      </w:pPr>
      <w:r>
        <w:t>The Company shall comply with disclosure requirements as follows:</w:t>
      </w:r>
    </w:p>
    <w:p w14:paraId="2AF62C5C" w14:textId="77777777" w:rsidR="00E733CE" w:rsidRDefault="00DC281C">
      <w:pPr>
        <w:pStyle w:val="Compact"/>
        <w:numPr>
          <w:ilvl w:val="0"/>
          <w:numId w:val="13"/>
        </w:numPr>
      </w:pPr>
      <w:r>
        <w:t>Disclosure of RPTs in Board’s Report</w:t>
      </w:r>
    </w:p>
    <w:p w14:paraId="4110943F" w14:textId="77777777" w:rsidR="00E733CE" w:rsidRDefault="00DC281C">
      <w:pPr>
        <w:pStyle w:val="Compact"/>
        <w:numPr>
          <w:ilvl w:val="0"/>
          <w:numId w:val="13"/>
        </w:numPr>
      </w:pPr>
      <w:r>
        <w:t>Half-yearly disclosure to Stock Exchanges</w:t>
      </w:r>
    </w:p>
    <w:p w14:paraId="34141206" w14:textId="77777777" w:rsidR="00E733CE" w:rsidRDefault="00DC281C">
      <w:pPr>
        <w:pStyle w:val="Compact"/>
        <w:numPr>
          <w:ilvl w:val="0"/>
          <w:numId w:val="13"/>
        </w:numPr>
      </w:pPr>
      <w:r>
        <w:lastRenderedPageBreak/>
        <w:t>Disclosure in financial statements as per Accounting Standards</w:t>
      </w:r>
    </w:p>
    <w:p w14:paraId="0104418E" w14:textId="77777777" w:rsidR="00E733CE" w:rsidRDefault="00DC281C">
      <w:pPr>
        <w:pStyle w:val="Compact"/>
        <w:numPr>
          <w:ilvl w:val="0"/>
          <w:numId w:val="13"/>
        </w:numPr>
      </w:pPr>
      <w:r>
        <w:t>Website disclosure as required under SEBI LODR Regulations</w:t>
      </w:r>
    </w:p>
    <w:p w14:paraId="727E9E27" w14:textId="77777777" w:rsidR="00E733CE" w:rsidRDefault="00DC281C">
      <w:pPr>
        <w:pStyle w:val="Heading2"/>
      </w:pPr>
      <w:bookmarkStart w:id="18" w:name="related-party-transactions-not-approved"/>
      <w:bookmarkEnd w:id="17"/>
      <w:r>
        <w:t>11. Related Party Transactions Not Approved</w:t>
      </w:r>
    </w:p>
    <w:p w14:paraId="7E863A48" w14:textId="77777777" w:rsidR="00E733CE" w:rsidRDefault="00DC281C">
      <w:pPr>
        <w:pStyle w:val="FirstParagraph"/>
      </w:pPr>
      <w:r>
        <w:t>In the event any RPT is entered into without prior approval:</w:t>
      </w:r>
    </w:p>
    <w:p w14:paraId="7E76EB57" w14:textId="77777777" w:rsidR="00E733CE" w:rsidRDefault="00DC281C">
      <w:pPr>
        <w:pStyle w:val="Compact"/>
        <w:numPr>
          <w:ilvl w:val="0"/>
          <w:numId w:val="14"/>
        </w:numPr>
      </w:pPr>
      <w:r>
        <w:t>The same shall be placed before the Audit Committee/Board for ratification</w:t>
      </w:r>
    </w:p>
    <w:p w14:paraId="332F6D4E" w14:textId="77777777" w:rsidR="00E733CE" w:rsidRDefault="00DC281C">
      <w:pPr>
        <w:pStyle w:val="Compact"/>
        <w:numPr>
          <w:ilvl w:val="0"/>
          <w:numId w:val="14"/>
        </w:numPr>
      </w:pPr>
      <w:r>
        <w:t>If not ratified, the transaction may be voidable at the option of the Company</w:t>
      </w:r>
    </w:p>
    <w:p w14:paraId="3D811730" w14:textId="77777777" w:rsidR="00E733CE" w:rsidRDefault="00DC281C">
      <w:pPr>
        <w:pStyle w:val="Compact"/>
        <w:numPr>
          <w:ilvl w:val="0"/>
          <w:numId w:val="14"/>
        </w:numPr>
      </w:pPr>
      <w:r>
        <w:t>Appropriate action may be taken against concerned persons</w:t>
      </w:r>
    </w:p>
    <w:p w14:paraId="2AC235B4" w14:textId="77777777" w:rsidR="00E733CE" w:rsidRDefault="00DC281C">
      <w:pPr>
        <w:pStyle w:val="Heading2"/>
      </w:pPr>
      <w:bookmarkStart w:id="19" w:name="role-of-audit-committee"/>
      <w:bookmarkEnd w:id="18"/>
      <w:r>
        <w:t>12. Role of Audit Committee</w:t>
      </w:r>
    </w:p>
    <w:p w14:paraId="7792F309" w14:textId="77777777" w:rsidR="00E733CE" w:rsidRDefault="00DC281C">
      <w:pPr>
        <w:pStyle w:val="FirstParagraph"/>
      </w:pPr>
      <w:r>
        <w:t>The Audit Committee shall:</w:t>
      </w:r>
    </w:p>
    <w:p w14:paraId="5B828665" w14:textId="77777777" w:rsidR="00E733CE" w:rsidRDefault="00DC281C">
      <w:pPr>
        <w:pStyle w:val="Compact"/>
        <w:numPr>
          <w:ilvl w:val="0"/>
          <w:numId w:val="15"/>
        </w:numPr>
      </w:pPr>
      <w:r>
        <w:t>Review and approve RPTs</w:t>
      </w:r>
    </w:p>
    <w:p w14:paraId="396AC0B6" w14:textId="77777777" w:rsidR="00E733CE" w:rsidRDefault="00DC281C">
      <w:pPr>
        <w:pStyle w:val="Compact"/>
        <w:numPr>
          <w:ilvl w:val="0"/>
          <w:numId w:val="15"/>
        </w:numPr>
      </w:pPr>
      <w:r>
        <w:t>Define criteria for omnibus approvals</w:t>
      </w:r>
    </w:p>
    <w:p w14:paraId="4F6FCECC" w14:textId="77777777" w:rsidR="00E733CE" w:rsidRDefault="00DC281C">
      <w:pPr>
        <w:pStyle w:val="Compact"/>
        <w:numPr>
          <w:ilvl w:val="0"/>
          <w:numId w:val="15"/>
        </w:numPr>
      </w:pPr>
      <w:r>
        <w:t>Monitor compliance of this Policy</w:t>
      </w:r>
    </w:p>
    <w:p w14:paraId="0F5D494B" w14:textId="77777777" w:rsidR="00E733CE" w:rsidRDefault="00DC281C">
      <w:pPr>
        <w:pStyle w:val="Compact"/>
        <w:numPr>
          <w:ilvl w:val="0"/>
          <w:numId w:val="15"/>
        </w:numPr>
      </w:pPr>
      <w:r>
        <w:t>Review RPT disclosures periodically</w:t>
      </w:r>
    </w:p>
    <w:p w14:paraId="69FF44F3" w14:textId="77777777" w:rsidR="00E733CE" w:rsidRDefault="00DC281C">
      <w:pPr>
        <w:pStyle w:val="Heading2"/>
      </w:pPr>
      <w:bookmarkStart w:id="20" w:name="amendments-to-the-policy"/>
      <w:bookmarkEnd w:id="19"/>
      <w:r>
        <w:t>13. Amendments to the Policy</w:t>
      </w:r>
    </w:p>
    <w:p w14:paraId="01051139" w14:textId="77777777" w:rsidR="00E733CE" w:rsidRDefault="00DC281C">
      <w:pPr>
        <w:pStyle w:val="FirstParagraph"/>
      </w:pPr>
      <w:r>
        <w:t>The Board may amend this Policy from time to time in line with statutory requirements and best governance practices.</w:t>
      </w:r>
    </w:p>
    <w:p w14:paraId="507013CD" w14:textId="77777777" w:rsidR="00E733CE" w:rsidRDefault="00DC281C">
      <w:pPr>
        <w:pStyle w:val="Heading2"/>
      </w:pPr>
      <w:bookmarkStart w:id="21" w:name="scope-and-limitation"/>
      <w:bookmarkEnd w:id="20"/>
      <w:r>
        <w:t>14. Scope and Limitation</w:t>
      </w:r>
    </w:p>
    <w:p w14:paraId="76B48393" w14:textId="77777777" w:rsidR="00E733CE" w:rsidRDefault="00DC281C">
      <w:pPr>
        <w:pStyle w:val="FirstParagraph"/>
      </w:pPr>
      <w:r>
        <w:t>In case of any conflict between this Policy and applicable laws, the provisions of law shall prevail.</w:t>
      </w:r>
    </w:p>
    <w:p w14:paraId="5D7687C8" w14:textId="77777777" w:rsidR="00E733CE" w:rsidRDefault="00DC281C">
      <w:pPr>
        <w:pStyle w:val="Heading2"/>
      </w:pPr>
      <w:bookmarkStart w:id="22" w:name="review-of-policy"/>
      <w:bookmarkEnd w:id="21"/>
      <w:r>
        <w:t>15. Review of Policy</w:t>
      </w:r>
    </w:p>
    <w:p w14:paraId="2743E5D0" w14:textId="77777777" w:rsidR="00E733CE" w:rsidRDefault="00DC281C">
      <w:pPr>
        <w:pStyle w:val="FirstParagraph"/>
      </w:pPr>
      <w:r>
        <w:t>This Policy shall be reviewed periodically by the Audit Committee and the Board to ensure its effectiveness.</w:t>
      </w:r>
    </w:p>
    <w:p w14:paraId="51ED2274" w14:textId="18531330" w:rsidR="00E733CE" w:rsidRDefault="00DC281C">
      <w:pPr>
        <w:pStyle w:val="FirstParagraph"/>
      </w:pPr>
      <w:r>
        <w:rPr>
          <w:b/>
          <w:bCs/>
        </w:rPr>
        <w:t>Last Updated:</w:t>
      </w:r>
      <w:r>
        <w:t xml:space="preserve"> </w:t>
      </w:r>
      <w:r w:rsidR="00176E05">
        <w:t>22/04/2026</w:t>
      </w:r>
      <w:r w:rsidRPr="00C44BFF">
        <w:rPr>
          <w:color w:val="FF0000"/>
        </w:rPr>
        <w:br/>
      </w:r>
      <w:r>
        <w:rPr>
          <w:b/>
          <w:bCs/>
        </w:rPr>
        <w:t>Approved By:</w:t>
      </w:r>
      <w:r>
        <w:t xml:space="preserve"> Board of Directors, Inditalia Refcon Limited</w:t>
      </w:r>
      <w:bookmarkEnd w:id="1"/>
      <w:bookmarkEnd w:id="22"/>
    </w:p>
    <w:sectPr w:rsidR="00E733CE" w:rsidSect="00176E05">
      <w:footnotePr>
        <w:numRestart w:val="eachSect"/>
      </w:footnotePr>
      <w:pgSz w:w="12240" w:h="15840"/>
      <w:pgMar w:top="1440" w:right="1440" w:bottom="1440" w:left="1440" w:header="426" w:footer="5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21AAC" w14:textId="77777777" w:rsidR="00CE5A4A" w:rsidRDefault="00CE5A4A" w:rsidP="00176E05">
      <w:pPr>
        <w:spacing w:after="0"/>
      </w:pPr>
      <w:r>
        <w:separator/>
      </w:r>
    </w:p>
  </w:endnote>
  <w:endnote w:type="continuationSeparator" w:id="0">
    <w:p w14:paraId="2286FC82" w14:textId="77777777" w:rsidR="00CE5A4A" w:rsidRDefault="00CE5A4A" w:rsidP="00176E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308B" w14:textId="77777777" w:rsidR="00CE5A4A" w:rsidRDefault="00CE5A4A" w:rsidP="00176E05">
      <w:pPr>
        <w:spacing w:after="0"/>
      </w:pPr>
      <w:r>
        <w:separator/>
      </w:r>
    </w:p>
  </w:footnote>
  <w:footnote w:type="continuationSeparator" w:id="0">
    <w:p w14:paraId="3A54736E" w14:textId="77777777" w:rsidR="00CE5A4A" w:rsidRDefault="00CE5A4A" w:rsidP="00176E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72E29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C08A43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29621918">
    <w:abstractNumId w:val="0"/>
  </w:num>
  <w:num w:numId="2" w16cid:durableId="1943684026">
    <w:abstractNumId w:val="1"/>
  </w:num>
  <w:num w:numId="3" w16cid:durableId="370544747">
    <w:abstractNumId w:val="1"/>
  </w:num>
  <w:num w:numId="4" w16cid:durableId="91509157">
    <w:abstractNumId w:val="1"/>
  </w:num>
  <w:num w:numId="5" w16cid:durableId="792938169">
    <w:abstractNumId w:val="1"/>
  </w:num>
  <w:num w:numId="6" w16cid:durableId="1753814602">
    <w:abstractNumId w:val="1"/>
  </w:num>
  <w:num w:numId="7" w16cid:durableId="586693665">
    <w:abstractNumId w:val="1"/>
  </w:num>
  <w:num w:numId="8" w16cid:durableId="1973050529">
    <w:abstractNumId w:val="1"/>
  </w:num>
  <w:num w:numId="9" w16cid:durableId="1057512907">
    <w:abstractNumId w:val="1"/>
  </w:num>
  <w:num w:numId="10" w16cid:durableId="1370297241">
    <w:abstractNumId w:val="1"/>
  </w:num>
  <w:num w:numId="11" w16cid:durableId="1571842748">
    <w:abstractNumId w:val="1"/>
  </w:num>
  <w:num w:numId="12" w16cid:durableId="1815680443">
    <w:abstractNumId w:val="1"/>
  </w:num>
  <w:num w:numId="13" w16cid:durableId="1516731321">
    <w:abstractNumId w:val="1"/>
  </w:num>
  <w:num w:numId="14" w16cid:durableId="719742317">
    <w:abstractNumId w:val="1"/>
  </w:num>
  <w:num w:numId="15" w16cid:durableId="150368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33CE"/>
    <w:rsid w:val="000F56A5"/>
    <w:rsid w:val="0016754A"/>
    <w:rsid w:val="00171536"/>
    <w:rsid w:val="00176E05"/>
    <w:rsid w:val="001D6386"/>
    <w:rsid w:val="00471FFE"/>
    <w:rsid w:val="005F4E94"/>
    <w:rsid w:val="00C44BFF"/>
    <w:rsid w:val="00CE5A4A"/>
    <w:rsid w:val="00DC281C"/>
    <w:rsid w:val="00E73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3C0F"/>
  <w15:docId w15:val="{A87EF867-50B5-49D8-ABC2-66E9F22E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176E05"/>
    <w:pPr>
      <w:tabs>
        <w:tab w:val="center" w:pos="4513"/>
        <w:tab w:val="right" w:pos="9026"/>
      </w:tabs>
      <w:spacing w:after="0"/>
    </w:pPr>
  </w:style>
  <w:style w:type="character" w:customStyle="1" w:styleId="HeaderChar">
    <w:name w:val="Header Char"/>
    <w:basedOn w:val="DefaultParagraphFont"/>
    <w:link w:val="Header"/>
    <w:rsid w:val="00176E05"/>
  </w:style>
  <w:style w:type="paragraph" w:styleId="Footer">
    <w:name w:val="footer"/>
    <w:basedOn w:val="Normal"/>
    <w:link w:val="FooterChar"/>
    <w:rsid w:val="00176E05"/>
    <w:pPr>
      <w:tabs>
        <w:tab w:val="center" w:pos="4513"/>
        <w:tab w:val="right" w:pos="9026"/>
      </w:tabs>
      <w:spacing w:after="0"/>
    </w:pPr>
  </w:style>
  <w:style w:type="character" w:customStyle="1" w:styleId="FooterChar">
    <w:name w:val="Footer Char"/>
    <w:basedOn w:val="DefaultParagraphFont"/>
    <w:link w:val="Footer"/>
    <w:rsid w:val="00176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930</Words>
  <Characters>5302</Characters>
  <Application>Microsoft Office Word</Application>
  <DocSecurity>0</DocSecurity>
  <Lines>44</Lines>
  <Paragraphs>12</Paragraphs>
  <ScaleCrop>false</ScaleCrop>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JAYARAJ DANGRE</cp:lastModifiedBy>
  <cp:revision>7</cp:revision>
  <dcterms:created xsi:type="dcterms:W3CDTF">2026-04-24T15:34:00Z</dcterms:created>
  <dcterms:modified xsi:type="dcterms:W3CDTF">2026-04-25T07:41:00Z</dcterms:modified>
</cp:coreProperties>
</file>